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7" w:rsidRDefault="00D15D5D" w:rsidP="00236487">
      <w:pPr>
        <w:jc w:val="right"/>
        <w:rPr>
          <w:rFonts w:cs="Calibri"/>
          <w:szCs w:val="21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D07879" wp14:editId="4AAA87CF">
            <wp:simplePos x="0" y="0"/>
            <wp:positionH relativeFrom="column">
              <wp:posOffset>29210</wp:posOffset>
            </wp:positionH>
            <wp:positionV relativeFrom="paragraph">
              <wp:posOffset>321310</wp:posOffset>
            </wp:positionV>
            <wp:extent cx="1113155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C8">
        <w:rPr>
          <w:rFonts w:cs="Calibri"/>
          <w:szCs w:val="21"/>
        </w:rPr>
        <w:t xml:space="preserve">V Liberci </w:t>
      </w:r>
      <w:r w:rsidR="00F046A0">
        <w:rPr>
          <w:rFonts w:cs="Calibri"/>
          <w:szCs w:val="21"/>
        </w:rPr>
        <w:t>1</w:t>
      </w:r>
      <w:r w:rsidR="005E0CDF">
        <w:rPr>
          <w:rFonts w:cs="Calibri"/>
          <w:szCs w:val="21"/>
        </w:rPr>
        <w:t>4</w:t>
      </w:r>
      <w:r w:rsidR="00F046A0">
        <w:rPr>
          <w:rFonts w:cs="Calibri"/>
          <w:szCs w:val="21"/>
        </w:rPr>
        <w:t>. listopadu</w:t>
      </w:r>
      <w:r w:rsidR="00236487" w:rsidRPr="00E832A0">
        <w:rPr>
          <w:rFonts w:cs="Calibri"/>
          <w:szCs w:val="21"/>
        </w:rPr>
        <w:t xml:space="preserve"> 201</w:t>
      </w:r>
      <w:r w:rsidR="00236487">
        <w:rPr>
          <w:rFonts w:cs="Calibri"/>
          <w:szCs w:val="21"/>
        </w:rPr>
        <w:t>3</w:t>
      </w:r>
    </w:p>
    <w:p w:rsidR="00236487" w:rsidRPr="00236487" w:rsidRDefault="00236487" w:rsidP="00236487">
      <w:pPr>
        <w:jc w:val="right"/>
        <w:rPr>
          <w:szCs w:val="21"/>
        </w:rPr>
      </w:pPr>
    </w:p>
    <w:p w:rsidR="00236487" w:rsidRDefault="00236487" w:rsidP="00236487">
      <w:pPr>
        <w:pStyle w:val="Nadpis1"/>
        <w:spacing w:line="276" w:lineRule="auto"/>
        <w:ind w:left="1843"/>
        <w:jc w:val="center"/>
        <w:rPr>
          <w:rFonts w:ascii="Times New Roman" w:hAnsi="Times New Roman"/>
          <w:color w:val="17365D"/>
        </w:rPr>
      </w:pPr>
      <w:r>
        <w:rPr>
          <w:rFonts w:ascii="Times New Roman" w:hAnsi="Times New Roman"/>
          <w:color w:val="17365D"/>
        </w:rPr>
        <w:t>Tisková zpráva</w:t>
      </w:r>
    </w:p>
    <w:p w:rsidR="00235791" w:rsidRDefault="00CE42FF" w:rsidP="0058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1435B1" w:rsidRPr="001435B1">
        <w:rPr>
          <w:b/>
          <w:sz w:val="36"/>
          <w:szCs w:val="36"/>
        </w:rPr>
        <w:t xml:space="preserve"> proměnám Liberce</w:t>
      </w:r>
      <w:r>
        <w:rPr>
          <w:b/>
          <w:sz w:val="36"/>
          <w:szCs w:val="36"/>
        </w:rPr>
        <w:t xml:space="preserve"> se může vyjádřit každý</w:t>
      </w:r>
      <w:r w:rsidR="001435B1">
        <w:rPr>
          <w:b/>
          <w:sz w:val="36"/>
          <w:szCs w:val="36"/>
        </w:rPr>
        <w:t xml:space="preserve">. </w:t>
      </w:r>
      <w:r w:rsidR="005B3A3A">
        <w:rPr>
          <w:b/>
          <w:sz w:val="36"/>
          <w:szCs w:val="36"/>
        </w:rPr>
        <w:br/>
        <w:t>Město finišuje s a</w:t>
      </w:r>
      <w:r w:rsidR="001435B1">
        <w:rPr>
          <w:b/>
          <w:sz w:val="36"/>
          <w:szCs w:val="36"/>
        </w:rPr>
        <w:t>ktualizac</w:t>
      </w:r>
      <w:r w:rsidR="005B3A3A">
        <w:rPr>
          <w:b/>
          <w:sz w:val="36"/>
          <w:szCs w:val="36"/>
        </w:rPr>
        <w:t>í</w:t>
      </w:r>
      <w:r w:rsidR="001435B1">
        <w:rPr>
          <w:b/>
          <w:sz w:val="36"/>
          <w:szCs w:val="36"/>
        </w:rPr>
        <w:t xml:space="preserve"> strategie rozvoje </w:t>
      </w:r>
    </w:p>
    <w:p w:rsidR="00D64C01" w:rsidRPr="005C1F93" w:rsidRDefault="00D15D5D" w:rsidP="00D64C01">
      <w:pPr>
        <w:jc w:val="both"/>
        <w:rPr>
          <w:rFonts w:eastAsia="Times New Roman" w:cs="Times New Roman"/>
          <w:b/>
          <w:lang w:eastAsia="cs-CZ"/>
        </w:rPr>
      </w:pPr>
      <w:r w:rsidRPr="005C1F93">
        <w:rPr>
          <w:b/>
        </w:rPr>
        <w:t xml:space="preserve">Jak se město Liberec a život v něm bude měnit v následujících letech? To se </w:t>
      </w:r>
      <w:r w:rsidR="008D7BEB" w:rsidRPr="005C1F93">
        <w:rPr>
          <w:b/>
        </w:rPr>
        <w:t>dozvěděli</w:t>
      </w:r>
      <w:r w:rsidRPr="005C1F93">
        <w:rPr>
          <w:b/>
        </w:rPr>
        <w:t xml:space="preserve"> </w:t>
      </w:r>
      <w:r w:rsidR="008D7BEB" w:rsidRPr="005C1F93">
        <w:rPr>
          <w:b/>
        </w:rPr>
        <w:t>občané</w:t>
      </w:r>
      <w:r w:rsidR="001435B1">
        <w:rPr>
          <w:b/>
        </w:rPr>
        <w:t xml:space="preserve"> na veřejné besedě </w:t>
      </w:r>
      <w:r w:rsidRPr="005C1F93">
        <w:rPr>
          <w:b/>
        </w:rPr>
        <w:t>k Aktualizaci strategie rozvoje města Liberec 2014 – 2020</w:t>
      </w:r>
      <w:r w:rsidR="008D7BEB" w:rsidRPr="005C1F93">
        <w:rPr>
          <w:b/>
        </w:rPr>
        <w:t xml:space="preserve"> </w:t>
      </w:r>
      <w:r w:rsidR="008D7BEB" w:rsidRPr="005C1F93">
        <w:rPr>
          <w:rFonts w:eastAsia="Times New Roman" w:cs="Times New Roman"/>
          <w:b/>
          <w:lang w:eastAsia="cs-CZ"/>
        </w:rPr>
        <w:t>ve čtvrtek 14. listopadu v Radničním sklípku</w:t>
      </w:r>
      <w:r w:rsidR="004F348D" w:rsidRPr="005C1F93">
        <w:rPr>
          <w:rFonts w:eastAsia="Times New Roman" w:cs="Times New Roman"/>
          <w:b/>
          <w:lang w:eastAsia="cs-CZ"/>
        </w:rPr>
        <w:t xml:space="preserve">. </w:t>
      </w:r>
      <w:r w:rsidR="00DE726C" w:rsidRPr="005C1F93">
        <w:rPr>
          <w:rFonts w:eastAsia="Times New Roman" w:cs="Times New Roman"/>
          <w:b/>
          <w:lang w:eastAsia="cs-CZ"/>
        </w:rPr>
        <w:t xml:space="preserve">Poprvé se tak mohli seznámit </w:t>
      </w:r>
      <w:r w:rsidR="00434DA7" w:rsidRPr="005C1F93">
        <w:rPr>
          <w:rFonts w:eastAsia="Times New Roman" w:cs="Times New Roman"/>
          <w:b/>
          <w:lang w:eastAsia="cs-CZ"/>
        </w:rPr>
        <w:t>s pracovní verzí ak</w:t>
      </w:r>
      <w:r w:rsidR="008C1446" w:rsidRPr="005C1F93">
        <w:rPr>
          <w:rFonts w:eastAsia="Times New Roman" w:cs="Times New Roman"/>
          <w:b/>
          <w:lang w:eastAsia="cs-CZ"/>
        </w:rPr>
        <w:t>tu</w:t>
      </w:r>
      <w:r w:rsidR="00DE726C" w:rsidRPr="005C1F93">
        <w:rPr>
          <w:rFonts w:eastAsia="Times New Roman" w:cs="Times New Roman"/>
          <w:b/>
          <w:lang w:eastAsia="cs-CZ"/>
        </w:rPr>
        <w:t xml:space="preserve">alizované strategie rozvoje, kterou v posledních měsících připravovaly na radnici pracovní skupiny. </w:t>
      </w:r>
      <w:r w:rsidR="00D64C01" w:rsidRPr="005C1F93">
        <w:rPr>
          <w:rFonts w:eastAsia="Times New Roman" w:cs="Times New Roman"/>
          <w:b/>
          <w:lang w:eastAsia="cs-CZ"/>
        </w:rPr>
        <w:t xml:space="preserve">Dostali také šanci vyjádřit se ke konkrétním návrhům a mohli sami </w:t>
      </w:r>
      <w:r w:rsidR="00D64C01" w:rsidRPr="005C1F93">
        <w:rPr>
          <w:b/>
        </w:rPr>
        <w:t>navrh</w:t>
      </w:r>
      <w:r w:rsidR="00D2135A">
        <w:rPr>
          <w:b/>
        </w:rPr>
        <w:t>nout</w:t>
      </w:r>
      <w:r w:rsidR="00D64C01" w:rsidRPr="005C1F93">
        <w:rPr>
          <w:b/>
        </w:rPr>
        <w:t xml:space="preserve"> konkrétní aktivity pro zlepšení života v severočeské metropoli.</w:t>
      </w:r>
    </w:p>
    <w:p w:rsidR="00E915DE" w:rsidRDefault="00484CEB" w:rsidP="00F046A0">
      <w:pPr>
        <w:jc w:val="both"/>
        <w:rPr>
          <w:rFonts w:eastAsia="Times New Roman" w:cs="Times New Roman"/>
          <w:lang w:eastAsia="cs-CZ"/>
        </w:rPr>
      </w:pPr>
      <w:r w:rsidRPr="00341BB3">
        <w:rPr>
          <w:rFonts w:eastAsia="Times New Roman" w:cs="Times New Roman"/>
          <w:i/>
          <w:lang w:eastAsia="cs-CZ"/>
        </w:rPr>
        <w:t>„</w:t>
      </w:r>
      <w:r w:rsidR="00CF6DC9" w:rsidRPr="00341BB3">
        <w:rPr>
          <w:rFonts w:eastAsia="Times New Roman" w:cs="Times New Roman"/>
          <w:i/>
          <w:lang w:eastAsia="cs-CZ"/>
        </w:rPr>
        <w:t>Občané byli seznámeni s pracovním materiálem, následně mohli jednotlivé cíle a opatření připomínkovat</w:t>
      </w:r>
      <w:r w:rsidR="00154EAB">
        <w:rPr>
          <w:rFonts w:eastAsia="Times New Roman" w:cs="Times New Roman"/>
          <w:i/>
          <w:lang w:eastAsia="cs-CZ"/>
        </w:rPr>
        <w:t xml:space="preserve"> </w:t>
      </w:r>
      <w:r w:rsidR="00154EAB" w:rsidRPr="006F39E1">
        <w:rPr>
          <w:rFonts w:eastAsia="Times New Roman" w:cs="Times New Roman"/>
          <w:i/>
          <w:lang w:eastAsia="cs-CZ"/>
        </w:rPr>
        <w:t>a také</w:t>
      </w:r>
      <w:r w:rsidR="00154EAB">
        <w:rPr>
          <w:rFonts w:eastAsia="Times New Roman" w:cs="Times New Roman"/>
          <w:i/>
          <w:lang w:eastAsia="cs-CZ"/>
        </w:rPr>
        <w:t xml:space="preserve"> </w:t>
      </w:r>
      <w:r w:rsidR="00CF6DC9" w:rsidRPr="00341BB3">
        <w:rPr>
          <w:rFonts w:eastAsia="Times New Roman" w:cs="Times New Roman"/>
          <w:i/>
          <w:lang w:eastAsia="cs-CZ"/>
        </w:rPr>
        <w:t xml:space="preserve">navrhovat </w:t>
      </w:r>
      <w:r w:rsidR="00154EAB" w:rsidRPr="006F39E1">
        <w:rPr>
          <w:rFonts w:eastAsia="Times New Roman" w:cs="Times New Roman"/>
          <w:i/>
          <w:lang w:eastAsia="cs-CZ"/>
        </w:rPr>
        <w:t>další</w:t>
      </w:r>
      <w:r w:rsidR="00154EAB">
        <w:rPr>
          <w:rFonts w:eastAsia="Times New Roman" w:cs="Times New Roman"/>
          <w:i/>
          <w:lang w:eastAsia="cs-CZ"/>
        </w:rPr>
        <w:t xml:space="preserve"> </w:t>
      </w:r>
      <w:r w:rsidR="00CF6DC9" w:rsidRPr="00341BB3">
        <w:rPr>
          <w:rFonts w:eastAsia="Times New Roman" w:cs="Times New Roman"/>
          <w:i/>
          <w:lang w:eastAsia="cs-CZ"/>
        </w:rPr>
        <w:t xml:space="preserve">vlastní aktivity, které by se podle nich měly realizovat. Na závěr besedy hodnotili cíle strategického </w:t>
      </w:r>
      <w:r w:rsidR="00341BB3" w:rsidRPr="00341BB3">
        <w:rPr>
          <w:rFonts w:eastAsia="Times New Roman" w:cs="Times New Roman"/>
          <w:i/>
          <w:lang w:eastAsia="cs-CZ"/>
        </w:rPr>
        <w:t>plánu z hlediska svých priorit</w:t>
      </w:r>
      <w:r w:rsidR="00427629" w:rsidRPr="00341BB3">
        <w:rPr>
          <w:i/>
        </w:rPr>
        <w:t>,“</w:t>
      </w:r>
      <w:r w:rsidR="00427629">
        <w:t xml:space="preserve"> </w:t>
      </w:r>
      <w:r>
        <w:t>uvedla</w:t>
      </w:r>
      <w:r w:rsidR="00427629">
        <w:t xml:space="preserve"> </w:t>
      </w:r>
      <w:r w:rsidR="00427629" w:rsidRPr="00235791">
        <w:rPr>
          <w:rFonts w:eastAsia="Times New Roman" w:cs="Times New Roman"/>
          <w:lang w:eastAsia="cs-CZ"/>
        </w:rPr>
        <w:t>manažerka oddělení rozvojové koncepce Magistrátu města Liberec Pavlína Prášilová.</w:t>
      </w:r>
    </w:p>
    <w:p w:rsidR="00B51872" w:rsidRDefault="00765079" w:rsidP="00F046A0">
      <w:pPr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Lidé se na besedě zajímali například</w:t>
      </w:r>
      <w:r w:rsidR="00A325F9">
        <w:rPr>
          <w:rFonts w:eastAsia="Times New Roman" w:cs="Times New Roman"/>
          <w:lang w:eastAsia="cs-CZ"/>
        </w:rPr>
        <w:t xml:space="preserve"> o to, zda nová strategie rozvoje</w:t>
      </w:r>
      <w:r>
        <w:rPr>
          <w:rFonts w:eastAsia="Times New Roman" w:cs="Times New Roman"/>
          <w:lang w:eastAsia="cs-CZ"/>
        </w:rPr>
        <w:t xml:space="preserve"> </w:t>
      </w:r>
      <w:r w:rsidR="00A325F9">
        <w:rPr>
          <w:rFonts w:eastAsia="Times New Roman" w:cs="Times New Roman"/>
          <w:lang w:eastAsia="cs-CZ"/>
        </w:rPr>
        <w:t xml:space="preserve">bude řešit budoucnost Ještědu nebo rozvoj bydlení. </w:t>
      </w:r>
      <w:r w:rsidR="00B51872">
        <w:rPr>
          <w:rFonts w:eastAsia="Times New Roman" w:cs="Times New Roman"/>
          <w:lang w:eastAsia="cs-CZ"/>
        </w:rPr>
        <w:t>Besedy se zúčastnili také zástupci Parlamentu mladých Liberec, kteří se do aktualizace strategie zapojili už v polovině roku.</w:t>
      </w:r>
    </w:p>
    <w:p w:rsidR="00427629" w:rsidRDefault="00341BB3" w:rsidP="00F046A0">
      <w:pPr>
        <w:jc w:val="both"/>
        <w:rPr>
          <w:rFonts w:eastAsia="Times New Roman" w:cs="Times New Roman"/>
          <w:lang w:eastAsia="cs-CZ"/>
        </w:rPr>
      </w:pPr>
      <w:r w:rsidRPr="00341BB3">
        <w:rPr>
          <w:rFonts w:eastAsia="Times New Roman" w:cs="Times New Roman"/>
          <w:lang w:eastAsia="cs-CZ"/>
        </w:rPr>
        <w:t>Návrhovou část aktualizované strategie rozvoje města</w:t>
      </w:r>
      <w:r w:rsidR="00410AFF">
        <w:rPr>
          <w:rFonts w:eastAsia="Times New Roman" w:cs="Times New Roman"/>
          <w:lang w:eastAsia="cs-CZ"/>
        </w:rPr>
        <w:t xml:space="preserve">, kterou </w:t>
      </w:r>
      <w:r w:rsidR="005443E2">
        <w:rPr>
          <w:rFonts w:eastAsia="Times New Roman" w:cs="Times New Roman"/>
          <w:lang w:eastAsia="cs-CZ"/>
        </w:rPr>
        <w:t>připomínkovali také jednotliví vedoucí odborů Magistrátu města Liberce</w:t>
      </w:r>
      <w:r w:rsidR="00410AFF">
        <w:rPr>
          <w:rFonts w:eastAsia="Times New Roman" w:cs="Times New Roman"/>
          <w:lang w:eastAsia="cs-CZ"/>
        </w:rPr>
        <w:t>,</w:t>
      </w:r>
      <w:r w:rsidR="005443E2">
        <w:rPr>
          <w:rFonts w:eastAsia="Times New Roman" w:cs="Times New Roman"/>
          <w:lang w:eastAsia="cs-CZ"/>
        </w:rPr>
        <w:t xml:space="preserve"> už mají v současné době k dispozici i </w:t>
      </w:r>
      <w:r>
        <w:rPr>
          <w:rFonts w:eastAsia="Times New Roman" w:cs="Times New Roman"/>
          <w:lang w:eastAsia="cs-CZ"/>
        </w:rPr>
        <w:t>k</w:t>
      </w:r>
      <w:r w:rsidRPr="00341BB3">
        <w:rPr>
          <w:rFonts w:eastAsia="Times New Roman" w:cs="Times New Roman"/>
          <w:lang w:eastAsia="cs-CZ"/>
        </w:rPr>
        <w:t>omise rady měs</w:t>
      </w:r>
      <w:r>
        <w:rPr>
          <w:rFonts w:eastAsia="Times New Roman" w:cs="Times New Roman"/>
          <w:lang w:eastAsia="cs-CZ"/>
        </w:rPr>
        <w:t>ta, výbory zastupitelstva města</w:t>
      </w:r>
      <w:r w:rsidR="005443E2">
        <w:rPr>
          <w:rFonts w:eastAsia="Times New Roman" w:cs="Times New Roman"/>
          <w:lang w:eastAsia="cs-CZ"/>
        </w:rPr>
        <w:t xml:space="preserve"> a politické kluby. </w:t>
      </w:r>
      <w:r w:rsidR="008A0F02">
        <w:rPr>
          <w:rFonts w:eastAsia="Times New Roman" w:cs="Times New Roman"/>
          <w:lang w:eastAsia="cs-CZ"/>
        </w:rPr>
        <w:t>Konečná</w:t>
      </w:r>
      <w:r w:rsidR="000049BC">
        <w:rPr>
          <w:rFonts w:eastAsia="Times New Roman" w:cs="Times New Roman"/>
          <w:lang w:eastAsia="cs-CZ"/>
        </w:rPr>
        <w:t xml:space="preserve"> verze </w:t>
      </w:r>
      <w:r w:rsidR="005443E2">
        <w:rPr>
          <w:rFonts w:eastAsia="Times New Roman" w:cs="Times New Roman"/>
          <w:lang w:eastAsia="cs-CZ"/>
        </w:rPr>
        <w:t>dokumentu</w:t>
      </w:r>
      <w:r w:rsidR="000049BC">
        <w:rPr>
          <w:rFonts w:eastAsia="Times New Roman" w:cs="Times New Roman"/>
          <w:lang w:eastAsia="cs-CZ"/>
        </w:rPr>
        <w:t xml:space="preserve">, který </w:t>
      </w:r>
      <w:r w:rsidR="008A0F02">
        <w:rPr>
          <w:rFonts w:eastAsia="Times New Roman" w:cs="Times New Roman"/>
          <w:lang w:eastAsia="cs-CZ"/>
        </w:rPr>
        <w:t>se stane</w:t>
      </w:r>
      <w:r w:rsidR="000049BC">
        <w:rPr>
          <w:rFonts w:eastAsia="Times New Roman" w:cs="Times New Roman"/>
          <w:lang w:eastAsia="cs-CZ"/>
        </w:rPr>
        <w:t xml:space="preserve"> </w:t>
      </w:r>
      <w:r w:rsidR="008A0F02">
        <w:rPr>
          <w:rFonts w:eastAsia="Times New Roman" w:cs="Times New Roman"/>
          <w:lang w:eastAsia="cs-CZ"/>
        </w:rPr>
        <w:t>podkladem pro</w:t>
      </w:r>
      <w:r w:rsidR="000049BC">
        <w:rPr>
          <w:rFonts w:eastAsia="Times New Roman" w:cs="Times New Roman"/>
          <w:lang w:eastAsia="cs-CZ"/>
        </w:rPr>
        <w:t xml:space="preserve"> </w:t>
      </w:r>
      <w:r w:rsidR="008A0F02">
        <w:rPr>
          <w:rFonts w:eastAsia="Times New Roman" w:cs="Times New Roman"/>
          <w:lang w:eastAsia="cs-CZ"/>
        </w:rPr>
        <w:t>roz</w:t>
      </w:r>
      <w:r w:rsidR="000049BC">
        <w:rPr>
          <w:rFonts w:eastAsia="Times New Roman" w:cs="Times New Roman"/>
          <w:lang w:eastAsia="cs-CZ"/>
        </w:rPr>
        <w:t>voj města až do roku 2020,</w:t>
      </w:r>
      <w:r w:rsidR="005443E2">
        <w:rPr>
          <w:rFonts w:eastAsia="Times New Roman" w:cs="Times New Roman"/>
          <w:lang w:eastAsia="cs-CZ"/>
        </w:rPr>
        <w:t xml:space="preserve"> bude po zapracování připomínek předložena </w:t>
      </w:r>
      <w:r w:rsidR="00154EAB" w:rsidRPr="006F39E1">
        <w:rPr>
          <w:rFonts w:eastAsia="Times New Roman" w:cs="Times New Roman"/>
          <w:lang w:eastAsia="cs-CZ"/>
        </w:rPr>
        <w:t>ke schválení</w:t>
      </w:r>
      <w:r w:rsidR="00154EAB">
        <w:rPr>
          <w:rFonts w:eastAsia="Times New Roman" w:cs="Times New Roman"/>
          <w:lang w:eastAsia="cs-CZ"/>
        </w:rPr>
        <w:t xml:space="preserve"> </w:t>
      </w:r>
      <w:r w:rsidR="005443E2">
        <w:rPr>
          <w:rFonts w:eastAsia="Times New Roman" w:cs="Times New Roman"/>
          <w:lang w:eastAsia="cs-CZ"/>
        </w:rPr>
        <w:t>zastupitelstvu</w:t>
      </w:r>
      <w:r w:rsidR="00154EAB">
        <w:rPr>
          <w:rFonts w:eastAsia="Times New Roman" w:cs="Times New Roman"/>
          <w:lang w:eastAsia="cs-CZ"/>
        </w:rPr>
        <w:t xml:space="preserve"> </w:t>
      </w:r>
      <w:r w:rsidR="00154EAB" w:rsidRPr="006F39E1">
        <w:rPr>
          <w:rFonts w:eastAsia="Times New Roman" w:cs="Times New Roman"/>
          <w:lang w:eastAsia="cs-CZ"/>
        </w:rPr>
        <w:t>města</w:t>
      </w:r>
      <w:r w:rsidR="005443E2">
        <w:rPr>
          <w:rFonts w:eastAsia="Times New Roman" w:cs="Times New Roman"/>
          <w:lang w:eastAsia="cs-CZ"/>
        </w:rPr>
        <w:t>.</w:t>
      </w:r>
    </w:p>
    <w:p w:rsidR="00D5777F" w:rsidRDefault="00D5777F" w:rsidP="00D5777F">
      <w:pPr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Kdo dnešní </w:t>
      </w:r>
      <w:r w:rsidRPr="009A3F5A">
        <w:rPr>
          <w:rFonts w:eastAsia="Times New Roman" w:cs="Times New Roman"/>
          <w:lang w:eastAsia="cs-CZ"/>
        </w:rPr>
        <w:t>besedu</w:t>
      </w:r>
      <w:r>
        <w:rPr>
          <w:rFonts w:eastAsia="Times New Roman" w:cs="Times New Roman"/>
          <w:lang w:eastAsia="cs-CZ"/>
        </w:rPr>
        <w:t xml:space="preserve"> nestihl, má další šanci v příštím týdnu, konkrétně ve středu 20. listopadu od 17.00 do 19.00 hodin ve školní jídelně ZŠ Dobiášova v </w:t>
      </w:r>
      <w:proofErr w:type="spellStart"/>
      <w:r>
        <w:rPr>
          <w:rFonts w:eastAsia="Times New Roman" w:cs="Times New Roman"/>
          <w:lang w:eastAsia="cs-CZ"/>
        </w:rPr>
        <w:t>Rochlici</w:t>
      </w:r>
      <w:proofErr w:type="spellEnd"/>
      <w:r>
        <w:rPr>
          <w:rFonts w:eastAsia="Times New Roman" w:cs="Times New Roman"/>
          <w:lang w:eastAsia="cs-CZ"/>
        </w:rPr>
        <w:t xml:space="preserve">. </w:t>
      </w:r>
      <w:r w:rsidRPr="003E0664">
        <w:rPr>
          <w:rFonts w:eastAsia="Times New Roman" w:cs="Times New Roman"/>
          <w:i/>
          <w:lang w:eastAsia="cs-CZ"/>
        </w:rPr>
        <w:t xml:space="preserve">„Dvěma termíny </w:t>
      </w:r>
      <w:r>
        <w:rPr>
          <w:rFonts w:eastAsia="Times New Roman" w:cs="Times New Roman"/>
          <w:i/>
          <w:lang w:eastAsia="cs-CZ"/>
        </w:rPr>
        <w:t xml:space="preserve">veřejných </w:t>
      </w:r>
      <w:r w:rsidRPr="009A3F5A">
        <w:rPr>
          <w:rFonts w:eastAsia="Times New Roman" w:cs="Times New Roman"/>
          <w:i/>
          <w:lang w:eastAsia="cs-CZ"/>
        </w:rPr>
        <w:t>besed</w:t>
      </w:r>
      <w:r>
        <w:rPr>
          <w:rFonts w:eastAsia="Times New Roman" w:cs="Times New Roman"/>
          <w:i/>
          <w:lang w:eastAsia="cs-CZ"/>
        </w:rPr>
        <w:t xml:space="preserve"> </w:t>
      </w:r>
      <w:r w:rsidRPr="003E0664">
        <w:rPr>
          <w:rFonts w:eastAsia="Times New Roman" w:cs="Times New Roman"/>
          <w:i/>
          <w:lang w:eastAsia="cs-CZ"/>
        </w:rPr>
        <w:t xml:space="preserve">na dvou různých místech jsme chtěli vyhovět </w:t>
      </w:r>
      <w:r>
        <w:rPr>
          <w:rFonts w:eastAsia="Times New Roman" w:cs="Times New Roman"/>
          <w:i/>
          <w:lang w:eastAsia="cs-CZ"/>
        </w:rPr>
        <w:t>co nejvíce zájemcům z řad veřejnosti,</w:t>
      </w:r>
      <w:r w:rsidRPr="003E0664">
        <w:rPr>
          <w:rFonts w:eastAsia="Times New Roman" w:cs="Times New Roman"/>
          <w:i/>
          <w:lang w:eastAsia="cs-CZ"/>
        </w:rPr>
        <w:t>“</w:t>
      </w:r>
      <w:r>
        <w:rPr>
          <w:rFonts w:eastAsia="Times New Roman" w:cs="Times New Roman"/>
          <w:lang w:eastAsia="cs-CZ"/>
        </w:rPr>
        <w:t xml:space="preserve"> vysvětlila Pavlína Prášilová.</w:t>
      </w:r>
    </w:p>
    <w:p w:rsidR="00D5777F" w:rsidRDefault="00D5777F" w:rsidP="00F046A0">
      <w:pPr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 letošním roce připravil </w:t>
      </w:r>
      <w:r w:rsidR="004722F3">
        <w:rPr>
          <w:rFonts w:eastAsia="Times New Roman" w:cs="Times New Roman"/>
          <w:lang w:eastAsia="cs-CZ"/>
        </w:rPr>
        <w:t xml:space="preserve">liberecký </w:t>
      </w:r>
      <w:r>
        <w:rPr>
          <w:rFonts w:eastAsia="Times New Roman" w:cs="Times New Roman"/>
          <w:lang w:eastAsia="cs-CZ"/>
        </w:rPr>
        <w:t xml:space="preserve">magistrát </w:t>
      </w:r>
      <w:r w:rsidR="005602AE">
        <w:rPr>
          <w:rFonts w:eastAsia="Times New Roman" w:cs="Times New Roman"/>
          <w:lang w:eastAsia="cs-CZ"/>
        </w:rPr>
        <w:t>k aktualizaci strategie už několik setkání s občany, v květnu to bylo nejprve s podnikateli, poté se studenty a zástupci neziskových organizací</w:t>
      </w:r>
      <w:r w:rsidR="00765079">
        <w:rPr>
          <w:rFonts w:eastAsia="Times New Roman" w:cs="Times New Roman"/>
          <w:lang w:eastAsia="cs-CZ"/>
        </w:rPr>
        <w:t>, s Radou starších (KS Kontakt)</w:t>
      </w:r>
      <w:r w:rsidR="005602AE">
        <w:rPr>
          <w:rFonts w:eastAsia="Times New Roman" w:cs="Times New Roman"/>
          <w:lang w:eastAsia="cs-CZ"/>
        </w:rPr>
        <w:t xml:space="preserve"> a nakonec </w:t>
      </w:r>
      <w:r w:rsidR="00341BB3">
        <w:rPr>
          <w:rFonts w:eastAsia="Times New Roman" w:cs="Times New Roman"/>
          <w:lang w:eastAsia="cs-CZ"/>
        </w:rPr>
        <w:t>se širokou veřejností</w:t>
      </w:r>
      <w:r w:rsidR="008D5771">
        <w:rPr>
          <w:rFonts w:eastAsia="Times New Roman" w:cs="Times New Roman"/>
          <w:lang w:eastAsia="cs-CZ"/>
        </w:rPr>
        <w:t>.</w:t>
      </w:r>
      <w:r w:rsidR="00D15D5D">
        <w:rPr>
          <w:rFonts w:eastAsia="Times New Roman" w:cs="Times New Roman"/>
          <w:lang w:eastAsia="cs-CZ"/>
        </w:rPr>
        <w:t xml:space="preserve"> </w:t>
      </w:r>
      <w:r w:rsidR="00434DA7">
        <w:rPr>
          <w:rFonts w:eastAsia="Times New Roman" w:cs="Times New Roman"/>
          <w:lang w:eastAsia="cs-CZ"/>
        </w:rPr>
        <w:t xml:space="preserve">V posledních několika měsících </w:t>
      </w:r>
      <w:r w:rsidR="00D15D5D">
        <w:rPr>
          <w:rFonts w:eastAsia="Times New Roman" w:cs="Times New Roman"/>
          <w:lang w:eastAsia="cs-CZ"/>
        </w:rPr>
        <w:t>následo</w:t>
      </w:r>
      <w:r w:rsidR="006239A4">
        <w:rPr>
          <w:rFonts w:eastAsia="Times New Roman" w:cs="Times New Roman"/>
          <w:lang w:eastAsia="cs-CZ"/>
        </w:rPr>
        <w:t>val</w:t>
      </w:r>
      <w:r w:rsidR="00341BB3">
        <w:rPr>
          <w:rFonts w:eastAsia="Times New Roman" w:cs="Times New Roman"/>
          <w:lang w:eastAsia="cs-CZ"/>
        </w:rPr>
        <w:t>a</w:t>
      </w:r>
      <w:r w:rsidR="006239A4">
        <w:rPr>
          <w:rFonts w:eastAsia="Times New Roman" w:cs="Times New Roman"/>
          <w:lang w:eastAsia="cs-CZ"/>
        </w:rPr>
        <w:t xml:space="preserve"> jednání pracovních skupin, ve kterých</w:t>
      </w:r>
      <w:r w:rsidR="006239A4" w:rsidRPr="006239A4">
        <w:rPr>
          <w:rFonts w:eastAsia="Times New Roman" w:cs="Times New Roman"/>
          <w:lang w:eastAsia="cs-CZ"/>
        </w:rPr>
        <w:t xml:space="preserve"> působili nejen odborníci z městských společností a organizací, magistrátu, soukromých podniků, neziskových organizací, institucí státní správy a vzdělávacích, kulturních, sportovních a volnočasových organizací, ale také samotní </w:t>
      </w:r>
      <w:r w:rsidR="00D46F08">
        <w:rPr>
          <w:rFonts w:eastAsia="Times New Roman" w:cs="Times New Roman"/>
          <w:lang w:eastAsia="cs-CZ"/>
        </w:rPr>
        <w:t xml:space="preserve">aktivní </w:t>
      </w:r>
      <w:r w:rsidR="006239A4" w:rsidRPr="006239A4">
        <w:rPr>
          <w:rFonts w:eastAsia="Times New Roman" w:cs="Times New Roman"/>
          <w:lang w:eastAsia="cs-CZ"/>
        </w:rPr>
        <w:t>občané.</w:t>
      </w:r>
    </w:p>
    <w:p w:rsidR="007070ED" w:rsidRPr="00F461AB" w:rsidRDefault="00F461AB" w:rsidP="00F046A0">
      <w:pPr>
        <w:jc w:val="both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„</w:t>
      </w:r>
      <w:r w:rsidR="00154EAB" w:rsidRPr="00F461AB">
        <w:rPr>
          <w:rFonts w:eastAsia="Times New Roman" w:cs="Times New Roman"/>
          <w:i/>
          <w:lang w:eastAsia="cs-CZ"/>
        </w:rPr>
        <w:t xml:space="preserve">Aktualizace strategie je potřebná </w:t>
      </w:r>
      <w:r w:rsidR="00E15428" w:rsidRPr="00F461AB">
        <w:rPr>
          <w:rFonts w:eastAsia="Times New Roman" w:cs="Times New Roman"/>
          <w:i/>
          <w:lang w:eastAsia="cs-CZ"/>
        </w:rPr>
        <w:t xml:space="preserve">také </w:t>
      </w:r>
      <w:r w:rsidR="00154EAB" w:rsidRPr="00F461AB">
        <w:rPr>
          <w:rFonts w:eastAsia="Times New Roman" w:cs="Times New Roman"/>
          <w:i/>
          <w:lang w:eastAsia="cs-CZ"/>
        </w:rPr>
        <w:t>pro další dotační období, které opakovaně umožní čerpání dotací z prostředků E</w:t>
      </w:r>
      <w:r w:rsidR="00E15428" w:rsidRPr="00F461AB">
        <w:rPr>
          <w:rFonts w:eastAsia="Times New Roman" w:cs="Times New Roman"/>
          <w:i/>
          <w:lang w:eastAsia="cs-CZ"/>
        </w:rPr>
        <w:t xml:space="preserve">U. Abychom věděli, jaký je názor liberecké veřejnosti na rozvoj města, tedy co konkrétně považují naši spoluobčané za potřebné, je zpracovávána tato aktualizace strategie. </w:t>
      </w:r>
      <w:r w:rsidRPr="00F461AB">
        <w:rPr>
          <w:rFonts w:eastAsia="Times New Roman" w:cs="Times New Roman"/>
          <w:i/>
          <w:lang w:eastAsia="cs-CZ"/>
        </w:rPr>
        <w:t>Věřím, že a</w:t>
      </w:r>
      <w:r w:rsidR="00765079">
        <w:rPr>
          <w:rFonts w:eastAsia="Times New Roman" w:cs="Times New Roman"/>
          <w:i/>
          <w:lang w:eastAsia="cs-CZ"/>
        </w:rPr>
        <w:t>lespoň zásadní cíle ve strategii</w:t>
      </w:r>
      <w:r w:rsidRPr="00F461AB">
        <w:rPr>
          <w:rFonts w:eastAsia="Times New Roman" w:cs="Times New Roman"/>
          <w:i/>
          <w:lang w:eastAsia="cs-CZ"/>
        </w:rPr>
        <w:t xml:space="preserve"> se v Liberci podaří naplnit. Rezervy byly definovány, uvidíme jak s tím město, jeho vedení a zejména jeho obyvatelé naloží</w:t>
      </w:r>
      <w:r w:rsidR="00765079">
        <w:rPr>
          <w:rFonts w:eastAsia="Times New Roman" w:cs="Times New Roman"/>
          <w:i/>
          <w:lang w:eastAsia="cs-CZ"/>
        </w:rPr>
        <w:t>,</w:t>
      </w:r>
      <w:r>
        <w:rPr>
          <w:rFonts w:eastAsia="Times New Roman" w:cs="Times New Roman"/>
          <w:i/>
          <w:lang w:eastAsia="cs-CZ"/>
        </w:rPr>
        <w:t xml:space="preserve">“ </w:t>
      </w:r>
      <w:r w:rsidRPr="006F39E1">
        <w:rPr>
          <w:rFonts w:eastAsia="Times New Roman" w:cs="Times New Roman"/>
          <w:lang w:eastAsia="cs-CZ"/>
        </w:rPr>
        <w:t>sdělil náměstek primátorky Jiří Rutkovský.</w:t>
      </w:r>
    </w:p>
    <w:p w:rsidR="007070ED" w:rsidRDefault="007070ED" w:rsidP="00F046A0">
      <w:pPr>
        <w:jc w:val="both"/>
        <w:rPr>
          <w:rFonts w:eastAsia="Times New Roman" w:cs="Times New Roman"/>
          <w:lang w:eastAsia="cs-CZ"/>
        </w:rPr>
      </w:pPr>
      <w:bookmarkStart w:id="0" w:name="_GoBack"/>
      <w:bookmarkEnd w:id="0"/>
    </w:p>
    <w:p w:rsidR="00551827" w:rsidRDefault="007A766A" w:rsidP="005B6775">
      <w:pPr>
        <w:jc w:val="both"/>
        <w:rPr>
          <w:u w:val="single"/>
        </w:rPr>
      </w:pPr>
      <w:r>
        <w:rPr>
          <w:b/>
        </w:rPr>
        <w:t xml:space="preserve">Více info: </w:t>
      </w:r>
      <w:hyperlink r:id="rId6" w:history="1">
        <w:r w:rsidR="00551827" w:rsidRPr="00760B99">
          <w:rPr>
            <w:rStyle w:val="Hypertextovodkaz"/>
          </w:rPr>
          <w:t>http://www.liberec.cz/aktualizace-strategie/</w:t>
        </w:r>
      </w:hyperlink>
    </w:p>
    <w:p w:rsidR="00654621" w:rsidRPr="007A766A" w:rsidRDefault="00654621" w:rsidP="00551827">
      <w:pPr>
        <w:rPr>
          <w:b/>
        </w:rPr>
      </w:pPr>
      <w:r w:rsidRPr="007A766A">
        <w:rPr>
          <w:b/>
        </w:rPr>
        <w:t>Aktuální plán představení strategie v listopadu 2013:</w:t>
      </w:r>
    </w:p>
    <w:tbl>
      <w:tblPr>
        <w:tblW w:w="944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3056"/>
        <w:gridCol w:w="1079"/>
        <w:gridCol w:w="1487"/>
        <w:gridCol w:w="2438"/>
        <w:gridCol w:w="20"/>
      </w:tblGrid>
      <w:tr w:rsidR="000F18E3" w:rsidTr="000F18E3">
        <w:trPr>
          <w:trHeight w:val="321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 w:rsidP="00654621">
            <w:pPr>
              <w:ind w:right="-551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 w:rsidP="00654621">
            <w:pPr>
              <w:ind w:right="-551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Setkání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628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Středa </w:t>
            </w:r>
            <w:r w:rsidR="00551827">
              <w:rPr>
                <w:color w:val="000000"/>
                <w:lang w:eastAsia="cs-CZ"/>
              </w:rPr>
              <w:t>20.11.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Pr="00393733" w:rsidRDefault="00551827" w:rsidP="00654621">
            <w:pPr>
              <w:ind w:right="-551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Představení strategie veřejnosti</w:t>
            </w:r>
            <w:r w:rsidR="00654621">
              <w:rPr>
                <w:color w:val="000000"/>
                <w:lang w:eastAsia="cs-CZ"/>
              </w:rPr>
              <w:t xml:space="preserve"> </w:t>
            </w:r>
            <w:r w:rsidR="00393733">
              <w:rPr>
                <w:color w:val="000000"/>
                <w:lang w:eastAsia="cs-CZ"/>
              </w:rPr>
              <w:br/>
            </w:r>
            <w:r w:rsidR="00654621">
              <w:rPr>
                <w:color w:val="000000"/>
                <w:lang w:eastAsia="cs-CZ"/>
              </w:rPr>
              <w:t>- beseda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17 - 19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ZŠ Dobiášova (jídelna)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393733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 veřejnost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Čtvrtek </w:t>
            </w:r>
            <w:r w:rsidR="00551827">
              <w:rPr>
                <w:color w:val="000000"/>
                <w:lang w:eastAsia="cs-CZ"/>
              </w:rPr>
              <w:t>21.11.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8E3" w:rsidRDefault="00551827" w:rsidP="00654621">
            <w:pPr>
              <w:ind w:right="-551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Představení strategie hlavním </w:t>
            </w:r>
          </w:p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aktérům rozvoje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14 - 16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Lidové sady (Restaurace Terasa)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551827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393733" w:rsidP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Neveřejné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Účast medií možná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321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654621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Úterý </w:t>
            </w:r>
            <w:r w:rsidR="00551827">
              <w:rPr>
                <w:color w:val="000000"/>
                <w:lang w:eastAsia="cs-CZ"/>
              </w:rPr>
              <w:t>26.11.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Pr="000F18E3" w:rsidRDefault="00551827" w:rsidP="000F18E3">
            <w:pPr>
              <w:ind w:right="-551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Představení strategie městem založeným a </w:t>
            </w:r>
            <w:proofErr w:type="spellStart"/>
            <w:r>
              <w:rPr>
                <w:color w:val="000000"/>
                <w:lang w:eastAsia="cs-CZ"/>
              </w:rPr>
              <w:t>zříz</w:t>
            </w:r>
            <w:proofErr w:type="spellEnd"/>
            <w:r w:rsidR="000F18E3">
              <w:rPr>
                <w:color w:val="000000"/>
                <w:lang w:eastAsia="cs-CZ"/>
              </w:rPr>
              <w:t>.</w:t>
            </w:r>
            <w:r>
              <w:rPr>
                <w:color w:val="000000"/>
                <w:lang w:eastAsia="cs-CZ"/>
              </w:rPr>
              <w:t xml:space="preserve"> organizacím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14 - 16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Radnice - místnost č. 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393733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Neveřejné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8E3" w:rsidTr="000F18E3">
        <w:trPr>
          <w:trHeight w:val="918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 w:rsidP="00654621">
            <w:pPr>
              <w:ind w:right="-551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27" w:rsidRDefault="0055182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827" w:rsidRDefault="00654621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Účast medií možná</w:t>
            </w:r>
          </w:p>
        </w:tc>
        <w:tc>
          <w:tcPr>
            <w:tcW w:w="20" w:type="dxa"/>
            <w:vAlign w:val="center"/>
            <w:hideMark/>
          </w:tcPr>
          <w:p w:rsidR="00551827" w:rsidRDefault="0055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1827" w:rsidRDefault="00551827" w:rsidP="00551827">
      <w:pPr>
        <w:rPr>
          <w:rFonts w:ascii="Calibri" w:hAnsi="Calibri" w:cs="Calibri"/>
        </w:rPr>
      </w:pPr>
    </w:p>
    <w:p w:rsidR="001C0417" w:rsidRDefault="001C0417" w:rsidP="00551827">
      <w:pPr>
        <w:rPr>
          <w:rFonts w:ascii="Calibri" w:hAnsi="Calibri" w:cs="Calibri"/>
        </w:rPr>
      </w:pPr>
    </w:p>
    <w:p w:rsidR="00C24351" w:rsidRPr="003F018B" w:rsidRDefault="00C24351" w:rsidP="00C24351">
      <w:pPr>
        <w:jc w:val="both"/>
        <w:rPr>
          <w:color w:val="0000FF" w:themeColor="hyperlink"/>
          <w:u w:val="single"/>
        </w:rPr>
      </w:pPr>
      <w:r w:rsidRPr="00C51562">
        <w:rPr>
          <w:u w:val="single"/>
        </w:rPr>
        <w:t>Kontakt pro média:</w:t>
      </w:r>
    </w:p>
    <w:p w:rsidR="00C24351" w:rsidRPr="003F018B" w:rsidRDefault="00C24351" w:rsidP="00C24351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bookmarkStart w:id="1" w:name="_MailAutoSig"/>
      <w:r>
        <w:rPr>
          <w:rFonts w:ascii="Garamond" w:eastAsiaTheme="minorEastAsia" w:hAnsi="Garamond"/>
          <w:b/>
          <w:bCs/>
          <w:noProof/>
          <w:color w:val="000080"/>
          <w:sz w:val="24"/>
          <w:szCs w:val="24"/>
          <w:lang w:eastAsia="cs-CZ"/>
        </w:rPr>
        <w:t>Jan Král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</w:r>
      <w:r>
        <w:rPr>
          <w:rFonts w:ascii="Garamond" w:eastAsiaTheme="minorEastAsia" w:hAnsi="Garamond"/>
          <w:i/>
          <w:iCs/>
          <w:noProof/>
          <w:color w:val="002060"/>
          <w:sz w:val="24"/>
          <w:szCs w:val="24"/>
          <w:lang w:eastAsia="cs-CZ"/>
        </w:rPr>
        <w:t>Referent propagace a komunikace s veřejností</w:t>
      </w:r>
      <w:r>
        <w:rPr>
          <w:rFonts w:ascii="Garamond" w:eastAsiaTheme="minorEastAsia" w:hAnsi="Garamond"/>
          <w:i/>
          <w:iCs/>
          <w:noProof/>
          <w:color w:val="002060"/>
          <w:sz w:val="24"/>
          <w:szCs w:val="24"/>
          <w:lang w:eastAsia="cs-CZ"/>
        </w:rPr>
        <w:br/>
        <w:t>odbor Kancelář primátorky</w:t>
      </w:r>
    </w:p>
    <w:p w:rsidR="00C24351" w:rsidRDefault="00C24351" w:rsidP="00C24351">
      <w:pPr>
        <w:spacing w:before="100" w:beforeAutospacing="1" w:after="100" w:afterAutospacing="1"/>
      </w:pPr>
      <w:r>
        <w:rPr>
          <w:rFonts w:ascii="Garamond" w:eastAsiaTheme="minorEastAsia" w:hAnsi="Garamond"/>
          <w:b/>
          <w:bCs/>
          <w:noProof/>
          <w:color w:val="000080"/>
          <w:sz w:val="24"/>
          <w:szCs w:val="24"/>
          <w:lang w:eastAsia="cs-CZ"/>
        </w:rPr>
        <w:t>Statutární město Liberec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br/>
      </w:r>
      <w:r>
        <w:rPr>
          <w:rFonts w:ascii="Garamond" w:eastAsiaTheme="minorEastAsia" w:hAnsi="Garamond"/>
          <w:b/>
          <w:bCs/>
          <w:noProof/>
          <w:color w:val="000080"/>
          <w:sz w:val="24"/>
          <w:szCs w:val="24"/>
          <w:lang w:eastAsia="cs-CZ"/>
        </w:rPr>
        <w:t>Magistrát města Liberec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br/>
      </w:r>
      <w:r>
        <w:rPr>
          <w:rFonts w:ascii="Garamond" w:eastAsiaTheme="minorEastAsia" w:hAnsi="Garamond"/>
          <w:noProof/>
          <w:color w:val="000080"/>
          <w:sz w:val="24"/>
          <w:szCs w:val="24"/>
          <w:lang w:eastAsia="cs-CZ"/>
        </w:rPr>
        <w:t>nám. Dr. E. Beneše 1; Liberec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t xml:space="preserve"> 1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br/>
      </w:r>
      <w:r>
        <w:rPr>
          <w:rFonts w:ascii="Garamond" w:eastAsiaTheme="minorEastAsia" w:hAnsi="Garamond"/>
          <w:noProof/>
          <w:color w:val="000080"/>
          <w:sz w:val="20"/>
          <w:szCs w:val="20"/>
          <w:lang w:eastAsia="cs-CZ"/>
        </w:rPr>
        <w:t>mobil: +420 733 618 706</w:t>
      </w:r>
      <w:r>
        <w:rPr>
          <w:rFonts w:ascii="Garamond" w:eastAsiaTheme="minorEastAsia" w:hAnsi="Garamond"/>
          <w:noProof/>
          <w:color w:val="000080"/>
          <w:sz w:val="20"/>
          <w:szCs w:val="20"/>
          <w:lang w:eastAsia="cs-CZ"/>
        </w:rPr>
        <w:br/>
        <w:t>tel.: +420 485 243 183</w:t>
      </w:r>
      <w:r>
        <w:rPr>
          <w:rFonts w:ascii="Garamond" w:eastAsiaTheme="minorEastAsia" w:hAnsi="Garamond"/>
          <w:noProof/>
          <w:color w:val="000080"/>
          <w:sz w:val="20"/>
          <w:szCs w:val="20"/>
          <w:lang w:eastAsia="cs-CZ"/>
        </w:rPr>
        <w:br/>
        <w:t>e-mail: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t xml:space="preserve"> </w:t>
      </w:r>
      <w:r>
        <w:rPr>
          <w:rFonts w:ascii="Garamond" w:eastAsiaTheme="minorEastAsia" w:hAnsi="Garamond"/>
          <w:noProof/>
          <w:color w:val="0000FF"/>
          <w:sz w:val="20"/>
          <w:szCs w:val="20"/>
          <w:u w:val="single"/>
          <w:lang w:eastAsia="cs-CZ"/>
        </w:rPr>
        <w:t>kral.jan@magistrat.liberec.cz</w:t>
      </w:r>
      <w:r>
        <w:rPr>
          <w:rFonts w:ascii="Garamond" w:eastAsiaTheme="minorEastAsia" w:hAnsi="Garamond"/>
          <w:noProof/>
          <w:color w:val="0000FF"/>
          <w:sz w:val="20"/>
          <w:szCs w:val="20"/>
          <w:u w:val="single"/>
          <w:lang w:eastAsia="cs-CZ"/>
        </w:rPr>
        <w:br/>
      </w:r>
      <w:r>
        <w:rPr>
          <w:rFonts w:ascii="Garamond" w:eastAsiaTheme="minorEastAsia" w:hAnsi="Garamond"/>
          <w:noProof/>
          <w:color w:val="000080"/>
          <w:sz w:val="20"/>
          <w:szCs w:val="20"/>
          <w:lang w:eastAsia="cs-CZ"/>
        </w:rPr>
        <w:t>web:</w:t>
      </w:r>
      <w:r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cs-CZ"/>
        </w:rPr>
        <w:t xml:space="preserve"> </w:t>
      </w:r>
      <w:hyperlink r:id="rId7" w:history="1">
        <w:r>
          <w:rPr>
            <w:rStyle w:val="Hypertextovodkaz"/>
            <w:rFonts w:ascii="Garamond" w:eastAsiaTheme="minorEastAsia" w:hAnsi="Garamond" w:cs="Times New Roman"/>
            <w:noProof/>
            <w:sz w:val="20"/>
            <w:szCs w:val="20"/>
            <w:lang w:eastAsia="cs-CZ"/>
          </w:rPr>
          <w:t>www.liberec.cz</w:t>
        </w:r>
      </w:hyperlink>
      <w:bookmarkEnd w:id="1"/>
    </w:p>
    <w:p w:rsidR="005B6775" w:rsidRPr="0097620A" w:rsidRDefault="005B6775" w:rsidP="0097620A">
      <w:pPr>
        <w:jc w:val="both"/>
      </w:pPr>
    </w:p>
    <w:sectPr w:rsidR="005B6775" w:rsidRPr="0097620A" w:rsidSect="00A859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6"/>
    <w:rsid w:val="00001921"/>
    <w:rsid w:val="000041A9"/>
    <w:rsid w:val="000049BC"/>
    <w:rsid w:val="00004DD9"/>
    <w:rsid w:val="000068FE"/>
    <w:rsid w:val="00010AF6"/>
    <w:rsid w:val="00033ED2"/>
    <w:rsid w:val="00047863"/>
    <w:rsid w:val="00050BF2"/>
    <w:rsid w:val="000525BD"/>
    <w:rsid w:val="00054A2D"/>
    <w:rsid w:val="00080DD9"/>
    <w:rsid w:val="00081857"/>
    <w:rsid w:val="00092C5C"/>
    <w:rsid w:val="0009346D"/>
    <w:rsid w:val="00096760"/>
    <w:rsid w:val="0009677D"/>
    <w:rsid w:val="000A2A38"/>
    <w:rsid w:val="000A70FA"/>
    <w:rsid w:val="000B4F52"/>
    <w:rsid w:val="000B53CC"/>
    <w:rsid w:val="000B769B"/>
    <w:rsid w:val="000C4A12"/>
    <w:rsid w:val="000E6423"/>
    <w:rsid w:val="000E74B1"/>
    <w:rsid w:val="000F09BF"/>
    <w:rsid w:val="000F18E3"/>
    <w:rsid w:val="000F52F0"/>
    <w:rsid w:val="00106023"/>
    <w:rsid w:val="00106B25"/>
    <w:rsid w:val="0011158B"/>
    <w:rsid w:val="00123430"/>
    <w:rsid w:val="00132EF0"/>
    <w:rsid w:val="00133DC5"/>
    <w:rsid w:val="00135647"/>
    <w:rsid w:val="001435B1"/>
    <w:rsid w:val="00145FA4"/>
    <w:rsid w:val="001508F2"/>
    <w:rsid w:val="00154EAB"/>
    <w:rsid w:val="001558CD"/>
    <w:rsid w:val="00157D89"/>
    <w:rsid w:val="001646EF"/>
    <w:rsid w:val="00166E4C"/>
    <w:rsid w:val="00166F62"/>
    <w:rsid w:val="00170C98"/>
    <w:rsid w:val="001828B9"/>
    <w:rsid w:val="001933E0"/>
    <w:rsid w:val="0019654A"/>
    <w:rsid w:val="00197CAA"/>
    <w:rsid w:val="001A697D"/>
    <w:rsid w:val="001A72B3"/>
    <w:rsid w:val="001C0417"/>
    <w:rsid w:val="001C6746"/>
    <w:rsid w:val="001C7C63"/>
    <w:rsid w:val="001D35CE"/>
    <w:rsid w:val="001E1927"/>
    <w:rsid w:val="001E671C"/>
    <w:rsid w:val="001F3A50"/>
    <w:rsid w:val="001F4582"/>
    <w:rsid w:val="001F658B"/>
    <w:rsid w:val="0020101C"/>
    <w:rsid w:val="00203D6D"/>
    <w:rsid w:val="00204DDE"/>
    <w:rsid w:val="00212FF9"/>
    <w:rsid w:val="00214173"/>
    <w:rsid w:val="002173B2"/>
    <w:rsid w:val="00217898"/>
    <w:rsid w:val="002223DE"/>
    <w:rsid w:val="00232E1C"/>
    <w:rsid w:val="00235791"/>
    <w:rsid w:val="00236487"/>
    <w:rsid w:val="00243107"/>
    <w:rsid w:val="00261CEB"/>
    <w:rsid w:val="002629A4"/>
    <w:rsid w:val="00263B72"/>
    <w:rsid w:val="002647DA"/>
    <w:rsid w:val="00264AFB"/>
    <w:rsid w:val="00267526"/>
    <w:rsid w:val="002732C9"/>
    <w:rsid w:val="0028244B"/>
    <w:rsid w:val="002960C6"/>
    <w:rsid w:val="00297706"/>
    <w:rsid w:val="002A5A1B"/>
    <w:rsid w:val="002B2A16"/>
    <w:rsid w:val="002B37C3"/>
    <w:rsid w:val="002B6DFF"/>
    <w:rsid w:val="002B78D8"/>
    <w:rsid w:val="002C05DD"/>
    <w:rsid w:val="002C20DC"/>
    <w:rsid w:val="002E4990"/>
    <w:rsid w:val="002E768C"/>
    <w:rsid w:val="002F5641"/>
    <w:rsid w:val="0030063D"/>
    <w:rsid w:val="00302DD6"/>
    <w:rsid w:val="00311210"/>
    <w:rsid w:val="003145BF"/>
    <w:rsid w:val="0032112F"/>
    <w:rsid w:val="00330E02"/>
    <w:rsid w:val="00335447"/>
    <w:rsid w:val="003362B8"/>
    <w:rsid w:val="0033712B"/>
    <w:rsid w:val="00341BB3"/>
    <w:rsid w:val="003438A2"/>
    <w:rsid w:val="003562BA"/>
    <w:rsid w:val="003564D1"/>
    <w:rsid w:val="00370F36"/>
    <w:rsid w:val="003746DA"/>
    <w:rsid w:val="003752F1"/>
    <w:rsid w:val="003804D8"/>
    <w:rsid w:val="00381601"/>
    <w:rsid w:val="0038348C"/>
    <w:rsid w:val="003839F1"/>
    <w:rsid w:val="00384F02"/>
    <w:rsid w:val="00384F2E"/>
    <w:rsid w:val="00391E40"/>
    <w:rsid w:val="00393363"/>
    <w:rsid w:val="00393733"/>
    <w:rsid w:val="00394337"/>
    <w:rsid w:val="003A22F2"/>
    <w:rsid w:val="003A6A46"/>
    <w:rsid w:val="003B2F47"/>
    <w:rsid w:val="003C1B2A"/>
    <w:rsid w:val="003E0664"/>
    <w:rsid w:val="003E3C5D"/>
    <w:rsid w:val="003F09E1"/>
    <w:rsid w:val="003F418A"/>
    <w:rsid w:val="003F4DC9"/>
    <w:rsid w:val="003F506C"/>
    <w:rsid w:val="004054BD"/>
    <w:rsid w:val="004057AB"/>
    <w:rsid w:val="004059F9"/>
    <w:rsid w:val="00410AFF"/>
    <w:rsid w:val="004118D8"/>
    <w:rsid w:val="0041256B"/>
    <w:rsid w:val="0042404C"/>
    <w:rsid w:val="004255B5"/>
    <w:rsid w:val="00427629"/>
    <w:rsid w:val="00434DA7"/>
    <w:rsid w:val="0043711F"/>
    <w:rsid w:val="00456DB9"/>
    <w:rsid w:val="00461153"/>
    <w:rsid w:val="0046354D"/>
    <w:rsid w:val="00463DD1"/>
    <w:rsid w:val="0046697C"/>
    <w:rsid w:val="0047038A"/>
    <w:rsid w:val="004722F3"/>
    <w:rsid w:val="00484CEB"/>
    <w:rsid w:val="00490DE5"/>
    <w:rsid w:val="0049115D"/>
    <w:rsid w:val="00493778"/>
    <w:rsid w:val="004964C8"/>
    <w:rsid w:val="004A626E"/>
    <w:rsid w:val="004A7D01"/>
    <w:rsid w:val="004B33BB"/>
    <w:rsid w:val="004B5AF3"/>
    <w:rsid w:val="004C00F2"/>
    <w:rsid w:val="004C3AF5"/>
    <w:rsid w:val="004C5BE0"/>
    <w:rsid w:val="004C6F76"/>
    <w:rsid w:val="004D1271"/>
    <w:rsid w:val="004D1A9F"/>
    <w:rsid w:val="004D1C2E"/>
    <w:rsid w:val="004D682A"/>
    <w:rsid w:val="004D6A9E"/>
    <w:rsid w:val="004E0F5E"/>
    <w:rsid w:val="004E114C"/>
    <w:rsid w:val="004E2C19"/>
    <w:rsid w:val="004E4FBE"/>
    <w:rsid w:val="004E6CE5"/>
    <w:rsid w:val="004F0207"/>
    <w:rsid w:val="004F218F"/>
    <w:rsid w:val="004F348D"/>
    <w:rsid w:val="004F39F8"/>
    <w:rsid w:val="004F72C7"/>
    <w:rsid w:val="004F74C5"/>
    <w:rsid w:val="005150C3"/>
    <w:rsid w:val="00522A54"/>
    <w:rsid w:val="005263C2"/>
    <w:rsid w:val="0053188E"/>
    <w:rsid w:val="005345DB"/>
    <w:rsid w:val="00536467"/>
    <w:rsid w:val="00542564"/>
    <w:rsid w:val="005443E2"/>
    <w:rsid w:val="00551827"/>
    <w:rsid w:val="00551AA4"/>
    <w:rsid w:val="005602AE"/>
    <w:rsid w:val="00563862"/>
    <w:rsid w:val="0056640F"/>
    <w:rsid w:val="005665FC"/>
    <w:rsid w:val="005703DC"/>
    <w:rsid w:val="00572A24"/>
    <w:rsid w:val="00575472"/>
    <w:rsid w:val="00577D14"/>
    <w:rsid w:val="00580930"/>
    <w:rsid w:val="00583A55"/>
    <w:rsid w:val="00585361"/>
    <w:rsid w:val="005947DF"/>
    <w:rsid w:val="0059491F"/>
    <w:rsid w:val="00596FA7"/>
    <w:rsid w:val="005A4164"/>
    <w:rsid w:val="005A7F12"/>
    <w:rsid w:val="005B1C49"/>
    <w:rsid w:val="005B3A3A"/>
    <w:rsid w:val="005B6775"/>
    <w:rsid w:val="005B68ED"/>
    <w:rsid w:val="005B7DE3"/>
    <w:rsid w:val="005C02D3"/>
    <w:rsid w:val="005C1F93"/>
    <w:rsid w:val="005C291E"/>
    <w:rsid w:val="005C3673"/>
    <w:rsid w:val="005C5596"/>
    <w:rsid w:val="005C6CBE"/>
    <w:rsid w:val="005C724B"/>
    <w:rsid w:val="005D40D6"/>
    <w:rsid w:val="005D79A7"/>
    <w:rsid w:val="005E0CDF"/>
    <w:rsid w:val="005E2296"/>
    <w:rsid w:val="005E691A"/>
    <w:rsid w:val="005F0548"/>
    <w:rsid w:val="00607E2A"/>
    <w:rsid w:val="00610304"/>
    <w:rsid w:val="00614F32"/>
    <w:rsid w:val="006239A4"/>
    <w:rsid w:val="00625541"/>
    <w:rsid w:val="00630329"/>
    <w:rsid w:val="00630948"/>
    <w:rsid w:val="00636F9C"/>
    <w:rsid w:val="0064023D"/>
    <w:rsid w:val="006415FA"/>
    <w:rsid w:val="006444DB"/>
    <w:rsid w:val="00645B0D"/>
    <w:rsid w:val="0064608F"/>
    <w:rsid w:val="006469B7"/>
    <w:rsid w:val="00654621"/>
    <w:rsid w:val="00655990"/>
    <w:rsid w:val="00671E79"/>
    <w:rsid w:val="00673262"/>
    <w:rsid w:val="00673FAC"/>
    <w:rsid w:val="00686513"/>
    <w:rsid w:val="00694775"/>
    <w:rsid w:val="006A0AAB"/>
    <w:rsid w:val="006A3D41"/>
    <w:rsid w:val="006B133A"/>
    <w:rsid w:val="006B2072"/>
    <w:rsid w:val="006B5DA5"/>
    <w:rsid w:val="006E5C08"/>
    <w:rsid w:val="006F0B7D"/>
    <w:rsid w:val="006F141F"/>
    <w:rsid w:val="006F39E1"/>
    <w:rsid w:val="006F6B68"/>
    <w:rsid w:val="00702227"/>
    <w:rsid w:val="00702D17"/>
    <w:rsid w:val="00702E83"/>
    <w:rsid w:val="007070ED"/>
    <w:rsid w:val="00713B57"/>
    <w:rsid w:val="007158DB"/>
    <w:rsid w:val="00715E6B"/>
    <w:rsid w:val="00717CE9"/>
    <w:rsid w:val="0072131C"/>
    <w:rsid w:val="0072345A"/>
    <w:rsid w:val="007305A2"/>
    <w:rsid w:val="00732765"/>
    <w:rsid w:val="00733880"/>
    <w:rsid w:val="00735D92"/>
    <w:rsid w:val="00737D86"/>
    <w:rsid w:val="007412C3"/>
    <w:rsid w:val="007422FD"/>
    <w:rsid w:val="00745022"/>
    <w:rsid w:val="00752A69"/>
    <w:rsid w:val="007536CD"/>
    <w:rsid w:val="00755238"/>
    <w:rsid w:val="0075711E"/>
    <w:rsid w:val="00757577"/>
    <w:rsid w:val="00760AB6"/>
    <w:rsid w:val="00765079"/>
    <w:rsid w:val="00766835"/>
    <w:rsid w:val="0077240C"/>
    <w:rsid w:val="00777E5F"/>
    <w:rsid w:val="0078758A"/>
    <w:rsid w:val="00787A5D"/>
    <w:rsid w:val="0079172B"/>
    <w:rsid w:val="007945EE"/>
    <w:rsid w:val="007956A0"/>
    <w:rsid w:val="007A766A"/>
    <w:rsid w:val="007B2932"/>
    <w:rsid w:val="007C08B6"/>
    <w:rsid w:val="007C208E"/>
    <w:rsid w:val="007C5915"/>
    <w:rsid w:val="007C621D"/>
    <w:rsid w:val="007C68E8"/>
    <w:rsid w:val="007D4436"/>
    <w:rsid w:val="007E0062"/>
    <w:rsid w:val="007E1F67"/>
    <w:rsid w:val="007E2AFF"/>
    <w:rsid w:val="007E7BC5"/>
    <w:rsid w:val="007F65D2"/>
    <w:rsid w:val="007F7B17"/>
    <w:rsid w:val="00805953"/>
    <w:rsid w:val="00806503"/>
    <w:rsid w:val="00807363"/>
    <w:rsid w:val="00807BCD"/>
    <w:rsid w:val="0081683B"/>
    <w:rsid w:val="00824526"/>
    <w:rsid w:val="0082612E"/>
    <w:rsid w:val="00827EF4"/>
    <w:rsid w:val="00842271"/>
    <w:rsid w:val="00843499"/>
    <w:rsid w:val="00843D44"/>
    <w:rsid w:val="00850003"/>
    <w:rsid w:val="008505BF"/>
    <w:rsid w:val="00852FFB"/>
    <w:rsid w:val="008562C5"/>
    <w:rsid w:val="00860546"/>
    <w:rsid w:val="00865A4B"/>
    <w:rsid w:val="00872F91"/>
    <w:rsid w:val="00882A5E"/>
    <w:rsid w:val="0088421F"/>
    <w:rsid w:val="00890935"/>
    <w:rsid w:val="008920DD"/>
    <w:rsid w:val="00893B43"/>
    <w:rsid w:val="008A0F02"/>
    <w:rsid w:val="008A25AC"/>
    <w:rsid w:val="008A3379"/>
    <w:rsid w:val="008A78B5"/>
    <w:rsid w:val="008B0B88"/>
    <w:rsid w:val="008B61A2"/>
    <w:rsid w:val="008C1446"/>
    <w:rsid w:val="008C2259"/>
    <w:rsid w:val="008C79E3"/>
    <w:rsid w:val="008D3CBD"/>
    <w:rsid w:val="008D5771"/>
    <w:rsid w:val="008D5DB2"/>
    <w:rsid w:val="008D6CA6"/>
    <w:rsid w:val="008D7BEB"/>
    <w:rsid w:val="008E328F"/>
    <w:rsid w:val="008E395A"/>
    <w:rsid w:val="008E403E"/>
    <w:rsid w:val="008E4CBD"/>
    <w:rsid w:val="008E6A68"/>
    <w:rsid w:val="008F0E49"/>
    <w:rsid w:val="008F1157"/>
    <w:rsid w:val="008F13F3"/>
    <w:rsid w:val="008F3458"/>
    <w:rsid w:val="008F3B85"/>
    <w:rsid w:val="008F59CB"/>
    <w:rsid w:val="008F70D1"/>
    <w:rsid w:val="00901164"/>
    <w:rsid w:val="00901E11"/>
    <w:rsid w:val="00905983"/>
    <w:rsid w:val="00911ED0"/>
    <w:rsid w:val="009130E8"/>
    <w:rsid w:val="00913C81"/>
    <w:rsid w:val="00913DEE"/>
    <w:rsid w:val="00914F4E"/>
    <w:rsid w:val="00923179"/>
    <w:rsid w:val="00923B1C"/>
    <w:rsid w:val="00923F33"/>
    <w:rsid w:val="00932316"/>
    <w:rsid w:val="009323A4"/>
    <w:rsid w:val="009335C2"/>
    <w:rsid w:val="00933CC6"/>
    <w:rsid w:val="00936046"/>
    <w:rsid w:val="00945007"/>
    <w:rsid w:val="00945488"/>
    <w:rsid w:val="00946A36"/>
    <w:rsid w:val="00950931"/>
    <w:rsid w:val="00962B01"/>
    <w:rsid w:val="00965F62"/>
    <w:rsid w:val="0097150E"/>
    <w:rsid w:val="0097620A"/>
    <w:rsid w:val="0098276D"/>
    <w:rsid w:val="00983638"/>
    <w:rsid w:val="00987129"/>
    <w:rsid w:val="00990201"/>
    <w:rsid w:val="009922F8"/>
    <w:rsid w:val="009971A5"/>
    <w:rsid w:val="009978DC"/>
    <w:rsid w:val="009A008F"/>
    <w:rsid w:val="009A013C"/>
    <w:rsid w:val="009A3F5A"/>
    <w:rsid w:val="009B131E"/>
    <w:rsid w:val="009B2DF6"/>
    <w:rsid w:val="009B4A65"/>
    <w:rsid w:val="009B6D1A"/>
    <w:rsid w:val="009C4C12"/>
    <w:rsid w:val="00A03E25"/>
    <w:rsid w:val="00A109C1"/>
    <w:rsid w:val="00A12E84"/>
    <w:rsid w:val="00A13F64"/>
    <w:rsid w:val="00A23F92"/>
    <w:rsid w:val="00A250FE"/>
    <w:rsid w:val="00A26A0C"/>
    <w:rsid w:val="00A325F9"/>
    <w:rsid w:val="00A35C39"/>
    <w:rsid w:val="00A40852"/>
    <w:rsid w:val="00A419C9"/>
    <w:rsid w:val="00A41A4B"/>
    <w:rsid w:val="00A42643"/>
    <w:rsid w:val="00A51345"/>
    <w:rsid w:val="00A628BE"/>
    <w:rsid w:val="00A64C01"/>
    <w:rsid w:val="00A64F86"/>
    <w:rsid w:val="00A7020D"/>
    <w:rsid w:val="00A7603A"/>
    <w:rsid w:val="00A829F9"/>
    <w:rsid w:val="00A859AE"/>
    <w:rsid w:val="00A912A0"/>
    <w:rsid w:val="00A9622D"/>
    <w:rsid w:val="00A97CAE"/>
    <w:rsid w:val="00AA0238"/>
    <w:rsid w:val="00AA4D48"/>
    <w:rsid w:val="00AA4FA3"/>
    <w:rsid w:val="00AA781D"/>
    <w:rsid w:val="00AB3820"/>
    <w:rsid w:val="00AB469E"/>
    <w:rsid w:val="00AB4AEB"/>
    <w:rsid w:val="00AD2716"/>
    <w:rsid w:val="00AD4E24"/>
    <w:rsid w:val="00AE0279"/>
    <w:rsid w:val="00AE1838"/>
    <w:rsid w:val="00AE3AE1"/>
    <w:rsid w:val="00AF282F"/>
    <w:rsid w:val="00AF2C44"/>
    <w:rsid w:val="00AF5A34"/>
    <w:rsid w:val="00B013DF"/>
    <w:rsid w:val="00B04828"/>
    <w:rsid w:val="00B11C61"/>
    <w:rsid w:val="00B16687"/>
    <w:rsid w:val="00B21291"/>
    <w:rsid w:val="00B24C06"/>
    <w:rsid w:val="00B25BB6"/>
    <w:rsid w:val="00B272DB"/>
    <w:rsid w:val="00B31C84"/>
    <w:rsid w:val="00B326A0"/>
    <w:rsid w:val="00B37A96"/>
    <w:rsid w:val="00B45539"/>
    <w:rsid w:val="00B4786E"/>
    <w:rsid w:val="00B50288"/>
    <w:rsid w:val="00B50701"/>
    <w:rsid w:val="00B51872"/>
    <w:rsid w:val="00B537AE"/>
    <w:rsid w:val="00B54217"/>
    <w:rsid w:val="00B566B9"/>
    <w:rsid w:val="00B64C75"/>
    <w:rsid w:val="00B67266"/>
    <w:rsid w:val="00B7201D"/>
    <w:rsid w:val="00B72498"/>
    <w:rsid w:val="00B865A2"/>
    <w:rsid w:val="00B91096"/>
    <w:rsid w:val="00B9467F"/>
    <w:rsid w:val="00BA371D"/>
    <w:rsid w:val="00BA54B6"/>
    <w:rsid w:val="00BA6A38"/>
    <w:rsid w:val="00BA731D"/>
    <w:rsid w:val="00BB1FE6"/>
    <w:rsid w:val="00BB68C0"/>
    <w:rsid w:val="00BB7A43"/>
    <w:rsid w:val="00BC43F6"/>
    <w:rsid w:val="00BD1453"/>
    <w:rsid w:val="00BD3783"/>
    <w:rsid w:val="00BD44AB"/>
    <w:rsid w:val="00BD6EBA"/>
    <w:rsid w:val="00BD7C1C"/>
    <w:rsid w:val="00BE4EFD"/>
    <w:rsid w:val="00C11BC7"/>
    <w:rsid w:val="00C1637D"/>
    <w:rsid w:val="00C170C6"/>
    <w:rsid w:val="00C1794D"/>
    <w:rsid w:val="00C21A9D"/>
    <w:rsid w:val="00C24351"/>
    <w:rsid w:val="00C24B09"/>
    <w:rsid w:val="00C25E00"/>
    <w:rsid w:val="00C3249A"/>
    <w:rsid w:val="00C35C7B"/>
    <w:rsid w:val="00C378A3"/>
    <w:rsid w:val="00C407D5"/>
    <w:rsid w:val="00C4375B"/>
    <w:rsid w:val="00C44143"/>
    <w:rsid w:val="00C52918"/>
    <w:rsid w:val="00C54295"/>
    <w:rsid w:val="00C67AA8"/>
    <w:rsid w:val="00C80C64"/>
    <w:rsid w:val="00C86CC3"/>
    <w:rsid w:val="00C9402C"/>
    <w:rsid w:val="00CA2ACE"/>
    <w:rsid w:val="00CA6BF3"/>
    <w:rsid w:val="00CB08E8"/>
    <w:rsid w:val="00CB5FEA"/>
    <w:rsid w:val="00CC4583"/>
    <w:rsid w:val="00CC4C26"/>
    <w:rsid w:val="00CE25D9"/>
    <w:rsid w:val="00CE42FF"/>
    <w:rsid w:val="00CE791E"/>
    <w:rsid w:val="00CF0B4F"/>
    <w:rsid w:val="00CF0C07"/>
    <w:rsid w:val="00CF4823"/>
    <w:rsid w:val="00CF68A9"/>
    <w:rsid w:val="00CF6DC9"/>
    <w:rsid w:val="00D014AB"/>
    <w:rsid w:val="00D0214F"/>
    <w:rsid w:val="00D1009C"/>
    <w:rsid w:val="00D1048E"/>
    <w:rsid w:val="00D11749"/>
    <w:rsid w:val="00D152DC"/>
    <w:rsid w:val="00D15D5D"/>
    <w:rsid w:val="00D20F28"/>
    <w:rsid w:val="00D2135A"/>
    <w:rsid w:val="00D33326"/>
    <w:rsid w:val="00D352BA"/>
    <w:rsid w:val="00D4196E"/>
    <w:rsid w:val="00D428B5"/>
    <w:rsid w:val="00D456AD"/>
    <w:rsid w:val="00D46F08"/>
    <w:rsid w:val="00D51D35"/>
    <w:rsid w:val="00D52B0D"/>
    <w:rsid w:val="00D5777F"/>
    <w:rsid w:val="00D614AC"/>
    <w:rsid w:val="00D6359F"/>
    <w:rsid w:val="00D64C01"/>
    <w:rsid w:val="00D650B8"/>
    <w:rsid w:val="00D67DAF"/>
    <w:rsid w:val="00D73741"/>
    <w:rsid w:val="00D80346"/>
    <w:rsid w:val="00D84DC7"/>
    <w:rsid w:val="00D96913"/>
    <w:rsid w:val="00DB4958"/>
    <w:rsid w:val="00DC0BBF"/>
    <w:rsid w:val="00DC27E2"/>
    <w:rsid w:val="00DC7250"/>
    <w:rsid w:val="00DD2EE5"/>
    <w:rsid w:val="00DE186F"/>
    <w:rsid w:val="00DE3A9F"/>
    <w:rsid w:val="00DE726C"/>
    <w:rsid w:val="00DF163D"/>
    <w:rsid w:val="00DF39DE"/>
    <w:rsid w:val="00E04254"/>
    <w:rsid w:val="00E06F52"/>
    <w:rsid w:val="00E152D1"/>
    <w:rsid w:val="00E15428"/>
    <w:rsid w:val="00E1644F"/>
    <w:rsid w:val="00E21304"/>
    <w:rsid w:val="00E216C2"/>
    <w:rsid w:val="00E320EC"/>
    <w:rsid w:val="00E356E7"/>
    <w:rsid w:val="00E366D9"/>
    <w:rsid w:val="00E36BD8"/>
    <w:rsid w:val="00E36C4B"/>
    <w:rsid w:val="00E4598B"/>
    <w:rsid w:val="00E52DE5"/>
    <w:rsid w:val="00E54088"/>
    <w:rsid w:val="00E6304D"/>
    <w:rsid w:val="00E637F6"/>
    <w:rsid w:val="00E8313A"/>
    <w:rsid w:val="00E915DE"/>
    <w:rsid w:val="00E915E5"/>
    <w:rsid w:val="00E938E6"/>
    <w:rsid w:val="00E96701"/>
    <w:rsid w:val="00EA5FAC"/>
    <w:rsid w:val="00EB367B"/>
    <w:rsid w:val="00EC75FD"/>
    <w:rsid w:val="00ED4BAC"/>
    <w:rsid w:val="00ED6087"/>
    <w:rsid w:val="00EE017A"/>
    <w:rsid w:val="00EE5645"/>
    <w:rsid w:val="00EF22FA"/>
    <w:rsid w:val="00EF2353"/>
    <w:rsid w:val="00EF7135"/>
    <w:rsid w:val="00F00E8A"/>
    <w:rsid w:val="00F04415"/>
    <w:rsid w:val="00F046A0"/>
    <w:rsid w:val="00F06555"/>
    <w:rsid w:val="00F1194A"/>
    <w:rsid w:val="00F11E73"/>
    <w:rsid w:val="00F159F4"/>
    <w:rsid w:val="00F2297B"/>
    <w:rsid w:val="00F32F11"/>
    <w:rsid w:val="00F3454D"/>
    <w:rsid w:val="00F41593"/>
    <w:rsid w:val="00F45CE9"/>
    <w:rsid w:val="00F461AB"/>
    <w:rsid w:val="00F550F4"/>
    <w:rsid w:val="00F558A4"/>
    <w:rsid w:val="00F61692"/>
    <w:rsid w:val="00F6382C"/>
    <w:rsid w:val="00F67A68"/>
    <w:rsid w:val="00F717F3"/>
    <w:rsid w:val="00F82969"/>
    <w:rsid w:val="00F93A58"/>
    <w:rsid w:val="00F9452B"/>
    <w:rsid w:val="00F94E86"/>
    <w:rsid w:val="00F95276"/>
    <w:rsid w:val="00F97530"/>
    <w:rsid w:val="00FA76D4"/>
    <w:rsid w:val="00FB2E05"/>
    <w:rsid w:val="00FC1214"/>
    <w:rsid w:val="00FC1CEC"/>
    <w:rsid w:val="00FC31E0"/>
    <w:rsid w:val="00FC4FA3"/>
    <w:rsid w:val="00FD5EBD"/>
    <w:rsid w:val="00FE3114"/>
    <w:rsid w:val="00FE460B"/>
    <w:rsid w:val="00FF195E"/>
    <w:rsid w:val="00FF71E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3648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487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6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F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00F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F6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3648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487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6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F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00F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F6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erec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Jan</dc:creator>
  <cp:lastModifiedBy>Král Jan</cp:lastModifiedBy>
  <cp:revision>7</cp:revision>
  <cp:lastPrinted>2013-11-14T07:00:00Z</cp:lastPrinted>
  <dcterms:created xsi:type="dcterms:W3CDTF">2013-11-14T17:23:00Z</dcterms:created>
  <dcterms:modified xsi:type="dcterms:W3CDTF">2013-11-14T17:38:00Z</dcterms:modified>
</cp:coreProperties>
</file>